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7697" w:rsidRDefault="00C27697" w:rsidP="00722178">
      <w:r>
        <w:rPr>
          <w:noProof/>
          <w:lang w:eastAsia="nl-BE"/>
        </w:rPr>
        <w:drawing>
          <wp:anchor distT="0" distB="0" distL="114300" distR="114300" simplePos="0" relativeHeight="251658240" behindDoc="0" locked="0" layoutInCell="1" allowOverlap="1">
            <wp:simplePos x="0" y="0"/>
            <wp:positionH relativeFrom="page">
              <wp:posOffset>445770</wp:posOffset>
            </wp:positionH>
            <wp:positionV relativeFrom="page">
              <wp:posOffset>360045</wp:posOffset>
            </wp:positionV>
            <wp:extent cx="1429200" cy="4968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nazareth.jpg"/>
                    <pic:cNvPicPr/>
                  </pic:nvPicPr>
                  <pic:blipFill>
                    <a:blip r:embed="rId8">
                      <a:extLst>
                        <a:ext uri="{28A0092B-C50C-407E-A947-70E740481C1C}">
                          <a14:useLocalDpi xmlns:a14="http://schemas.microsoft.com/office/drawing/2010/main" val="0"/>
                        </a:ext>
                      </a:extLst>
                    </a:blip>
                    <a:stretch>
                      <a:fillRect/>
                    </a:stretch>
                  </pic:blipFill>
                  <pic:spPr>
                    <a:xfrm>
                      <a:off x="0" y="0"/>
                      <a:ext cx="1429200" cy="496800"/>
                    </a:xfrm>
                    <a:prstGeom prst="rect">
                      <a:avLst/>
                    </a:prstGeom>
                  </pic:spPr>
                </pic:pic>
              </a:graphicData>
            </a:graphic>
            <wp14:sizeRelH relativeFrom="margin">
              <wp14:pctWidth>0</wp14:pctWidth>
            </wp14:sizeRelH>
            <wp14:sizeRelV relativeFrom="margin">
              <wp14:pctHeight>0</wp14:pctHeight>
            </wp14:sizeRelV>
          </wp:anchor>
        </w:drawing>
      </w:r>
    </w:p>
    <w:p w:rsidR="00004F77" w:rsidRPr="00A80BC9" w:rsidRDefault="00A80BC9" w:rsidP="00C27697">
      <w:pPr>
        <w:pStyle w:val="Titel"/>
        <w:rPr>
          <w:sz w:val="56"/>
        </w:rPr>
      </w:pPr>
      <w:r w:rsidRPr="00A80BC9">
        <w:rPr>
          <w:sz w:val="56"/>
        </w:rPr>
        <w:t>Nieuwbouw Kinderkasteeltje</w:t>
      </w:r>
    </w:p>
    <w:p w:rsidR="00C27697" w:rsidRPr="00C27697" w:rsidRDefault="00A80BC9" w:rsidP="00C27697">
      <w:pPr>
        <w:pStyle w:val="Ondertitel"/>
      </w:pPr>
      <w:r>
        <w:t>Perstekst 14 oktober 2022</w:t>
      </w:r>
    </w:p>
    <w:p w:rsidR="00C27697" w:rsidRDefault="00A80BC9" w:rsidP="00A80BC9">
      <w:r>
        <w:t>Op het mooie groene domein van 't Kinderkasteeltje in Nazareth komt een nieuw gebouw dat onderdak zal geven aan het CKG en het kinderdagverblijf van vzw Jeugdhulp Don Bosco Vlaanderen én aan de buitenschoolse opvang van het lokaal bestuur Nazareth. Dit nieuwbouwproject is uniek door de samenwerking tussen het lokaal bestuur Nazareth en vzw Jeugdhulp Don Bosco Vlaanderen.</w:t>
      </w:r>
      <w:r>
        <w:br/>
      </w:r>
      <w:r>
        <w:br/>
        <w:t xml:space="preserve">Uit 31 kandidaten is 1 architectenbureau gekozen. Hun winnende ontwerp wordt nu verder verfijnd tot een definitief plan. De uitvoering is voorzien in 2024-2025. </w:t>
      </w:r>
      <w:r w:rsidR="00C27697">
        <w:t xml:space="preserve"> </w:t>
      </w:r>
    </w:p>
    <w:p w:rsidR="00A80BC9" w:rsidRDefault="00A80BC9" w:rsidP="00A80BC9"/>
    <w:p w:rsidR="00A80BC9" w:rsidRDefault="00A80BC9" w:rsidP="00A80BC9">
      <w:r>
        <w:t>Lokaal bestuur Nazareth en vzw Jeugdhulp Don Bosco Vlaanderen bouwen samen een nieuw Kinderkasteeltje</w:t>
      </w:r>
    </w:p>
    <w:p w:rsidR="00A80BC9" w:rsidRDefault="00A80BC9" w:rsidP="00A80BC9"/>
    <w:p w:rsidR="00A80BC9" w:rsidRDefault="00A80BC9" w:rsidP="00A80BC9">
      <w:pPr>
        <w:pStyle w:val="Kop1"/>
      </w:pPr>
      <w:r>
        <w:t xml:space="preserve">Waarom is </w:t>
      </w:r>
      <w:r w:rsidRPr="00A80BC9">
        <w:t>deze</w:t>
      </w:r>
      <w:r>
        <w:t xml:space="preserve"> nieuwbouw nodig?</w:t>
      </w:r>
    </w:p>
    <w:p w:rsidR="00A80BC9" w:rsidRDefault="00A80BC9" w:rsidP="00A80BC9">
      <w:r>
        <w:t>Vzw Jeugdhulp Don Bosco Vlaanderen organiseert in 't Kinderkasteeltje zowel een kinderdagverblijf (KDV) als een Centrum voor Kind- en Gezinsondersteuning (CKG). Het gebouw komt onvoldoende tegemoet aan de actuele noden van de organisatie. Dankzij de nieuwbouw en de heraangelegde groenzone zullen de kinderen en gezinnen nog betere ondersteuning krijgen. De kinderen en de medewerkers komen terecht in een huiselijke omgeving.</w:t>
      </w:r>
    </w:p>
    <w:p w:rsidR="00A80BC9" w:rsidRDefault="00A80BC9" w:rsidP="00A80BC9"/>
    <w:p w:rsidR="00A80BC9" w:rsidRDefault="00A80BC9" w:rsidP="00A80BC9">
      <w:r>
        <w:t>Het gebouw van BKO Ter Meeren in de Deinzestraat is verouderd. Het kost handenvol geld om het te onderhouden. De buitenschoolse kinderopvang (BKO) van het lokaal bestuur Nazareth heeft dringend een nieuw onderkomen nodig, voor de vele kleuters en lagereschoolkinderen die hier buiten de schooluren komen.</w:t>
      </w:r>
    </w:p>
    <w:p w:rsidR="00A80BC9" w:rsidRDefault="00A80BC9" w:rsidP="00A80BC9"/>
    <w:p w:rsidR="00A80BC9" w:rsidRDefault="00A80BC9" w:rsidP="00A80BC9">
      <w:pPr>
        <w:pStyle w:val="Kop1"/>
      </w:pPr>
      <w:r>
        <w:t>Waaruit bestaat de samenwerking?</w:t>
      </w:r>
    </w:p>
    <w:p w:rsidR="00A80BC9" w:rsidRDefault="00A80BC9" w:rsidP="00A80BC9">
      <w:r>
        <w:t>Het originele plan was om de BKO te verhuizen naar de site Sterrenbos, in de buurt van het jeugdlokaal, de speelzone en de sportsite. Maar de site van 't Kinderkasteeltje blijkt nog interessanter te zijn. Het ligt dicht bij de sportsite én de drie scholen en er is meer ruimte om te parkeren. Bovendien is deze locatie ideaal om in te spelen op het nieuwe decreet BOA. Dit decreet vraagt om buitenschoolse opvang te verruimen met sportieve, creatieve en andere activiteiten.</w:t>
      </w:r>
    </w:p>
    <w:p w:rsidR="00A80BC9" w:rsidRDefault="00A80BC9" w:rsidP="00A80BC9"/>
    <w:p w:rsidR="00A80BC9" w:rsidRDefault="00A80BC9" w:rsidP="00A80BC9">
      <w:r>
        <w:t>Ook vzw Jeugdhulp Don Bosco Vlaanderen ziet de meerwaarde van een samenwerking met het lokaal bestuur Nazareth. De kinderen die er residentieel wonen, zullen aan de naschoolse activiteiten deelnemen, waardoor ze gemakkelijker andere kinderen ontmoeten. Zo maken ze deel uit van het sociale weefsel en groeien ze zo gewoon mogelijk op.</w:t>
      </w:r>
    </w:p>
    <w:p w:rsidR="00A80BC9" w:rsidRDefault="00A80BC9" w:rsidP="00A80BC9"/>
    <w:p w:rsidR="00A80BC9" w:rsidRDefault="00A80BC9" w:rsidP="00A80BC9">
      <w:r>
        <w:t>Niet alleen kinderen worden ondersteund in 't Kinderkasteeltje. De vzw ondersteunt ook gezinnen met een zorgvraag. Op de campus wordt een waaier van preventie, ondersteuning en hulp aangeboden. De samenwerking met het consultatiebureau van Kind en Gezin blijft in de nieuwbouw overeind en er zijn plannen om met een eerstelijnspsycholoog samen te werken.</w:t>
      </w:r>
    </w:p>
    <w:p w:rsidR="00A80BC9" w:rsidRDefault="00A80BC9" w:rsidP="00A80BC9"/>
    <w:p w:rsidR="00A80BC9" w:rsidRDefault="00A80BC9" w:rsidP="00A80BC9">
      <w:pPr>
        <w:pStyle w:val="Kop1"/>
      </w:pPr>
      <w:r>
        <w:lastRenderedPageBreak/>
        <w:t>Wie betaalt?</w:t>
      </w:r>
    </w:p>
    <w:p w:rsidR="00A80BC9" w:rsidRDefault="00A80BC9" w:rsidP="00A80BC9">
      <w:r>
        <w:t>Het gebouw voor de BKO en het consultatiebureau worden ontwikkeld door het lokaal bestuur Nazareth, het gebouw voor het CKG en het kinderdagverblijf wordt ontwikkeld door vzw Jeugdhulp Don Bosco Vlaanderen. De gemeenschappelijke gebouwdelen en omgevingsaanleg worden gezamenlijk ontwikkeld. Het publiek toegankelijke deel van het domein wordt ontwikkeld door het lokaal bestuur Nazareth.</w:t>
      </w:r>
    </w:p>
    <w:p w:rsidR="00A80BC9" w:rsidRDefault="00A80BC9" w:rsidP="00A80BC9">
      <w:r>
        <w:t xml:space="preserve"> </w:t>
      </w:r>
    </w:p>
    <w:p w:rsidR="00A80BC9" w:rsidRDefault="00A80BC9" w:rsidP="00A80BC9">
      <w:pPr>
        <w:pStyle w:val="Kop1"/>
      </w:pPr>
      <w:r>
        <w:t>Wat zijn de plannen?</w:t>
      </w:r>
    </w:p>
    <w:p w:rsidR="00A80BC9" w:rsidRDefault="00A80BC9" w:rsidP="00A80BC9">
      <w:r>
        <w:t>Het winnende concept bestaat uit een compacte cluster van drie geschakelde geometrische volumes, die op een speelse manier in het park worden geplaatst.</w:t>
      </w:r>
    </w:p>
    <w:p w:rsidR="00A80BC9" w:rsidRDefault="00A80BC9" w:rsidP="00A80BC9"/>
    <w:p w:rsidR="00A80BC9" w:rsidRDefault="00A80BC9" w:rsidP="00A80BC9">
      <w:r>
        <w:t>De architect zal op het persmoment meer over het concept vertellen.</w:t>
      </w:r>
      <w:r>
        <w:t xml:space="preserve"> </w:t>
      </w:r>
      <w:r w:rsidRPr="00A80BC9">
        <w:rPr>
          <w:i/>
        </w:rPr>
        <w:t>– Zie afzonderlijk document.</w:t>
      </w:r>
    </w:p>
    <w:p w:rsidR="00A80BC9" w:rsidRDefault="00A80BC9" w:rsidP="00A80BC9"/>
    <w:p w:rsidR="00A80BC9" w:rsidRDefault="00A80BC9" w:rsidP="00A80BC9">
      <w:r>
        <w:t>De verouderde delen van het bestaande gebouw worden gesloopt om plaats te maken voor het park en de buitenruimte van de nieuwbouw. Op die manier blijft de balans tussen groene ruimte en verharding bewaard. Voor de delen van het gebouw met erfgoedwaarde zoeken de twee bouwheren een derde partner, die dit gebouw wil betrekken.</w:t>
      </w:r>
    </w:p>
    <w:p w:rsidR="00A80BC9" w:rsidRDefault="00A80BC9" w:rsidP="00A80BC9"/>
    <w:p w:rsidR="00A80BC9" w:rsidRDefault="00A80BC9" w:rsidP="00A80BC9">
      <w:r>
        <w:t>Een ander deel van het domein wordt een publiek park. Gecombineerd met het park dat het lokaal bestuur Nazareth zal aanleggen op de groenzone ernaast, krijgt Nazareth er zo een 5 hectare groot groengebied bij.</w:t>
      </w:r>
    </w:p>
    <w:p w:rsidR="00A80BC9" w:rsidRDefault="00A80BC9" w:rsidP="00A80BC9"/>
    <w:p w:rsidR="00A80BC9" w:rsidRDefault="00A80BC9" w:rsidP="00A80BC9">
      <w:r>
        <w:t>Op het domein worden parkeerplaatsen aangelegd voor personeel, ouders, bezoekers en mensen die in de buurt moeten zijn.</w:t>
      </w:r>
    </w:p>
    <w:p w:rsidR="00A80BC9" w:rsidRDefault="00A80BC9" w:rsidP="00A80BC9">
      <w:r>
        <w:t xml:space="preserve"> </w:t>
      </w:r>
    </w:p>
    <w:p w:rsidR="00A80BC9" w:rsidRDefault="00A80BC9" w:rsidP="00A80BC9">
      <w:pPr>
        <w:pStyle w:val="Kop1"/>
      </w:pPr>
      <w:r>
        <w:t>Wanneer beginnen de werken?</w:t>
      </w:r>
    </w:p>
    <w:p w:rsidR="00A80BC9" w:rsidRDefault="00A80BC9" w:rsidP="00A80BC9">
      <w:r>
        <w:t>Veneco is door het lokaal bestuur Nazareth en vzw Jeugdhulp Don Bosco Vlaanderen aangesteld als projectbegeleider. In overleg met beide bouwheren heeft Veneco eerst een masterplan en daarna een projectdefinitie opgemaakt. Via een ontwerpwedstrijd is gezocht naar een geschikt ontwerpteam, bestaande uit een architect, landschapsarchitect, ingenieurs en eventuele andere deskundigen.</w:t>
      </w:r>
    </w:p>
    <w:p w:rsidR="00A80BC9" w:rsidRDefault="00A80BC9" w:rsidP="00A80BC9"/>
    <w:p w:rsidR="00A80BC9" w:rsidRDefault="00A80BC9" w:rsidP="00A80BC9">
      <w:r>
        <w:t>Het bureau Bovenbouw Architectuur heeft de ontwerpwedstrijd gewonnen en krijgt dus de opdracht. Momenteel ligt een eerste ontwerp op tafel. Hiermee gaat het ontwerpteam naar de verschillende betrokkenen, onder wie de personeelsleden van het CKG, het KDV en de BKO. De architect zal het wedstrijdconcept dan verder afwerken tot een concreet architectuurontwerp, landschapsontwerp en uitvoeringsdossier.</w:t>
      </w:r>
    </w:p>
    <w:p w:rsidR="00A80BC9" w:rsidRDefault="00A80BC9" w:rsidP="00A80BC9"/>
    <w:p w:rsidR="00A80BC9" w:rsidRPr="00C27697" w:rsidRDefault="00A80BC9" w:rsidP="00A80BC9">
      <w:r>
        <w:t>In 2023 vragen de bouwheren een omgevingsvergunning aan. Daarna begint de aanbestedingsprocedure. De bedoeling is om in 2024 en 2025 te bouwen, zodat de verhuis eind 2025 kan plaatsvinden.</w:t>
      </w:r>
      <w:bookmarkStart w:id="0" w:name="_GoBack"/>
      <w:bookmarkEnd w:id="0"/>
    </w:p>
    <w:sectPr w:rsidR="00A80BC9" w:rsidRPr="00C27697" w:rsidSect="00EF0FED">
      <w:footerReference w:type="default" r:id="rId9"/>
      <w:pgSz w:w="11906" w:h="16838"/>
      <w:pgMar w:top="1588" w:right="1304" w:bottom="1247"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0BC9" w:rsidRDefault="00A80BC9">
      <w:r>
        <w:separator/>
      </w:r>
    </w:p>
  </w:endnote>
  <w:endnote w:type="continuationSeparator" w:id="0">
    <w:p w:rsidR="00A80BC9" w:rsidRDefault="00A80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2124" w:rsidRDefault="00552124" w:rsidP="00552124">
    <w:pPr>
      <w:pStyle w:val="Voettekst"/>
      <w:jc w:val="right"/>
    </w:pPr>
    <w:r>
      <w:rPr>
        <w:rStyle w:val="Paginanummer"/>
      </w:rPr>
      <w:fldChar w:fldCharType="begin"/>
    </w:r>
    <w:r>
      <w:rPr>
        <w:rStyle w:val="Paginanummer"/>
      </w:rPr>
      <w:instrText xml:space="preserve"> PAGE </w:instrText>
    </w:r>
    <w:r>
      <w:rPr>
        <w:rStyle w:val="Paginanummer"/>
      </w:rPr>
      <w:fldChar w:fldCharType="separate"/>
    </w:r>
    <w:r w:rsidR="003A3896">
      <w:rPr>
        <w:rStyle w:val="Paginanummer"/>
        <w:noProof/>
      </w:rPr>
      <w:t>1</w:t>
    </w:r>
    <w:r>
      <w:rPr>
        <w:rStyle w:val="Paginanumm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0BC9" w:rsidRDefault="00A80BC9">
      <w:r>
        <w:separator/>
      </w:r>
    </w:p>
  </w:footnote>
  <w:footnote w:type="continuationSeparator" w:id="0">
    <w:p w:rsidR="00A80BC9" w:rsidRDefault="00A80B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62AEE"/>
    <w:multiLevelType w:val="multilevel"/>
    <w:tmpl w:val="F45AB768"/>
    <w:lvl w:ilvl="0">
      <w:start w:val="1"/>
      <w:numFmt w:val="decimal"/>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211F6032"/>
    <w:multiLevelType w:val="multilevel"/>
    <w:tmpl w:val="08130021"/>
    <w:styleLink w:val="Bollen"/>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Arial" w:hAnsi="Aria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2BD41745"/>
    <w:multiLevelType w:val="multilevel"/>
    <w:tmpl w:val="835A8510"/>
    <w:styleLink w:val="Opmaakprofiel1"/>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3" w15:restartNumberingAfterBreak="0">
    <w:nsid w:val="3B5025CA"/>
    <w:multiLevelType w:val="hybridMultilevel"/>
    <w:tmpl w:val="98E2B80E"/>
    <w:lvl w:ilvl="0" w:tplc="B2EEDBF6">
      <w:start w:val="1"/>
      <w:numFmt w:val="bullet"/>
      <w:lvlText w:val=""/>
      <w:lvlJc w:val="left"/>
      <w:pPr>
        <w:ind w:left="1004" w:hanging="360"/>
      </w:pPr>
      <w:rPr>
        <w:rFonts w:ascii="Wingdings" w:hAnsi="Wingdings" w:hint="default"/>
      </w:rPr>
    </w:lvl>
    <w:lvl w:ilvl="1" w:tplc="08130003">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4" w15:restartNumberingAfterBreak="0">
    <w:nsid w:val="41FD5A7C"/>
    <w:multiLevelType w:val="hybridMultilevel"/>
    <w:tmpl w:val="6D4A233A"/>
    <w:lvl w:ilvl="0" w:tplc="B0CE3D96">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 w15:restartNumberingAfterBreak="0">
    <w:nsid w:val="4BE964D8"/>
    <w:multiLevelType w:val="multilevel"/>
    <w:tmpl w:val="6D4A233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530C41BD"/>
    <w:multiLevelType w:val="hybridMultilevel"/>
    <w:tmpl w:val="C72215B2"/>
    <w:lvl w:ilvl="0" w:tplc="07466984">
      <w:start w:val="1"/>
      <w:numFmt w:val="bullet"/>
      <w:lvlText w:val=""/>
      <w:lvlJc w:val="left"/>
      <w:pPr>
        <w:ind w:left="360" w:hanging="360"/>
      </w:pPr>
      <w:rPr>
        <w:rFonts w:ascii="Symbol" w:hAnsi="Symbol" w:hint="default"/>
      </w:rPr>
    </w:lvl>
    <w:lvl w:ilvl="1" w:tplc="B9D227EC">
      <w:start w:val="1"/>
      <w:numFmt w:val="bullet"/>
      <w:pStyle w:val="Opsomming2-10"/>
      <w:lvlText w:val=""/>
      <w:lvlJc w:val="left"/>
      <w:pPr>
        <w:ind w:left="1080" w:hanging="360"/>
      </w:pPr>
      <w:rPr>
        <w:rFonts w:ascii="Wingdings" w:hAnsi="Wingdings"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56641149"/>
    <w:multiLevelType w:val="multilevel"/>
    <w:tmpl w:val="B1942B84"/>
    <w:lvl w:ilvl="0">
      <w:start w:val="1"/>
      <w:numFmt w:val="bullet"/>
      <w:pStyle w:val="Bol1"/>
      <w:lvlText w:val=""/>
      <w:lvlJc w:val="left"/>
      <w:pPr>
        <w:ind w:left="360" w:hanging="360"/>
      </w:pPr>
      <w:rPr>
        <w:rFonts w:ascii="Symbol" w:hAnsi="Symbol" w:hint="default"/>
      </w:rPr>
    </w:lvl>
    <w:lvl w:ilvl="1">
      <w:start w:val="1"/>
      <w:numFmt w:val="bullet"/>
      <w:pStyle w:val="Bol2"/>
      <w:lvlText w:val=""/>
      <w:lvlJc w:val="left"/>
      <w:pPr>
        <w:ind w:left="720" w:hanging="360"/>
      </w:pPr>
      <w:rPr>
        <w:rFonts w:ascii="Wingdings" w:hAnsi="Wingdings" w:hint="default"/>
      </w:rPr>
    </w:lvl>
    <w:lvl w:ilvl="2">
      <w:start w:val="1"/>
      <w:numFmt w:val="bullet"/>
      <w:pStyle w:val="Bol3"/>
      <w:lvlText w:val="-"/>
      <w:lvlJc w:val="left"/>
      <w:pPr>
        <w:ind w:left="1080" w:hanging="360"/>
      </w:pPr>
      <w:rPr>
        <w:rFonts w:ascii="Arial" w:hAnsi="Arial" w:hint="default"/>
      </w:rPr>
    </w:lvl>
    <w:lvl w:ilvl="3">
      <w:start w:val="1"/>
      <w:numFmt w:val="bullet"/>
      <w:lvlText w:val=""/>
      <w:lvlJc w:val="left"/>
      <w:pPr>
        <w:ind w:left="1440" w:hanging="360"/>
      </w:pPr>
      <w:rPr>
        <w:rFonts w:ascii="Symbol" w:hAnsi="Symbol" w:hint="default"/>
        <w:color w:val="B4B19A" w:themeColor="accent3"/>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66D30783"/>
    <w:multiLevelType w:val="multilevel"/>
    <w:tmpl w:val="08130021"/>
    <w:numStyleLink w:val="Bollen"/>
  </w:abstractNum>
  <w:abstractNum w:abstractNumId="9" w15:restartNumberingAfterBreak="0">
    <w:nsid w:val="6CAA174C"/>
    <w:multiLevelType w:val="hybridMultilevel"/>
    <w:tmpl w:val="E2EE4D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40B2D4F"/>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6381E23"/>
    <w:multiLevelType w:val="hybridMultilevel"/>
    <w:tmpl w:val="9990AC9E"/>
    <w:lvl w:ilvl="0" w:tplc="F2343FC2">
      <w:start w:val="1"/>
      <w:numFmt w:val="bullet"/>
      <w:lvlText w:val=""/>
      <w:lvlJc w:val="left"/>
      <w:pPr>
        <w:tabs>
          <w:tab w:val="num" w:pos="283"/>
        </w:tabs>
        <w:ind w:left="283" w:hanging="283"/>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11"/>
  </w:num>
  <w:num w:numId="6">
    <w:abstractNumId w:val="0"/>
  </w:num>
  <w:num w:numId="7">
    <w:abstractNumId w:val="2"/>
  </w:num>
  <w:num w:numId="8">
    <w:abstractNumId w:val="0"/>
  </w:num>
  <w:num w:numId="9">
    <w:abstractNumId w:val="0"/>
  </w:num>
  <w:num w:numId="10">
    <w:abstractNumId w:val="6"/>
  </w:num>
  <w:num w:numId="11">
    <w:abstractNumId w:val="4"/>
  </w:num>
  <w:num w:numId="12">
    <w:abstractNumId w:val="4"/>
  </w:num>
  <w:num w:numId="13">
    <w:abstractNumId w:val="3"/>
  </w:num>
  <w:num w:numId="14">
    <w:abstractNumId w:val="4"/>
  </w:num>
  <w:num w:numId="15">
    <w:abstractNumId w:val="3"/>
  </w:num>
  <w:num w:numId="16">
    <w:abstractNumId w:val="0"/>
  </w:num>
  <w:num w:numId="17">
    <w:abstractNumId w:val="0"/>
  </w:num>
  <w:num w:numId="18">
    <w:abstractNumId w:val="0"/>
  </w:num>
  <w:num w:numId="19">
    <w:abstractNumId w:val="0"/>
  </w:num>
  <w:num w:numId="20">
    <w:abstractNumId w:val="6"/>
  </w:num>
  <w:num w:numId="21">
    <w:abstractNumId w:val="4"/>
  </w:num>
  <w:num w:numId="22">
    <w:abstractNumId w:val="3"/>
  </w:num>
  <w:num w:numId="23">
    <w:abstractNumId w:val="3"/>
  </w:num>
  <w:num w:numId="24">
    <w:abstractNumId w:val="3"/>
  </w:num>
  <w:num w:numId="25">
    <w:abstractNumId w:val="3"/>
  </w:num>
  <w:num w:numId="26">
    <w:abstractNumId w:val="3"/>
  </w:num>
  <w:num w:numId="27">
    <w:abstractNumId w:val="0"/>
  </w:num>
  <w:num w:numId="28">
    <w:abstractNumId w:val="0"/>
  </w:num>
  <w:num w:numId="29">
    <w:abstractNumId w:val="0"/>
  </w:num>
  <w:num w:numId="30">
    <w:abstractNumId w:val="0"/>
  </w:num>
  <w:num w:numId="31">
    <w:abstractNumId w:val="6"/>
  </w:num>
  <w:num w:numId="32">
    <w:abstractNumId w:val="4"/>
  </w:num>
  <w:num w:numId="33">
    <w:abstractNumId w:val="3"/>
  </w:num>
  <w:num w:numId="34">
    <w:abstractNumId w:val="3"/>
  </w:num>
  <w:num w:numId="35">
    <w:abstractNumId w:val="3"/>
  </w:num>
  <w:num w:numId="36">
    <w:abstractNumId w:val="3"/>
  </w:num>
  <w:num w:numId="37">
    <w:abstractNumId w:val="3"/>
  </w:num>
  <w:num w:numId="38">
    <w:abstractNumId w:val="3"/>
  </w:num>
  <w:num w:numId="39">
    <w:abstractNumId w:val="3"/>
  </w:num>
  <w:num w:numId="40">
    <w:abstractNumId w:val="3"/>
  </w:num>
  <w:num w:numId="41">
    <w:abstractNumId w:val="9"/>
  </w:num>
  <w:num w:numId="42">
    <w:abstractNumId w:val="5"/>
  </w:num>
  <w:num w:numId="43">
    <w:abstractNumId w:val="8"/>
  </w:num>
  <w:num w:numId="44">
    <w:abstractNumId w:val="1"/>
  </w:num>
  <w:num w:numId="45">
    <w:abstractNumId w:val="7"/>
  </w:num>
  <w:num w:numId="46">
    <w:abstractNumId w:val="10"/>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BC9"/>
    <w:rsid w:val="00004F77"/>
    <w:rsid w:val="000065EF"/>
    <w:rsid w:val="000136B8"/>
    <w:rsid w:val="0002629E"/>
    <w:rsid w:val="00057D8B"/>
    <w:rsid w:val="000631D3"/>
    <w:rsid w:val="00095C5A"/>
    <w:rsid w:val="000A2F3F"/>
    <w:rsid w:val="000C2100"/>
    <w:rsid w:val="000C7A67"/>
    <w:rsid w:val="00103847"/>
    <w:rsid w:val="001358CF"/>
    <w:rsid w:val="00156592"/>
    <w:rsid w:val="001638E1"/>
    <w:rsid w:val="001D2CFB"/>
    <w:rsid w:val="002272A8"/>
    <w:rsid w:val="00255538"/>
    <w:rsid w:val="00260064"/>
    <w:rsid w:val="00271FA0"/>
    <w:rsid w:val="002F34E3"/>
    <w:rsid w:val="003211CC"/>
    <w:rsid w:val="00326423"/>
    <w:rsid w:val="003451D4"/>
    <w:rsid w:val="00354EBC"/>
    <w:rsid w:val="003A3896"/>
    <w:rsid w:val="003B3CA9"/>
    <w:rsid w:val="003B5274"/>
    <w:rsid w:val="003E5DE5"/>
    <w:rsid w:val="004061B3"/>
    <w:rsid w:val="00424006"/>
    <w:rsid w:val="0043601E"/>
    <w:rsid w:val="00447A28"/>
    <w:rsid w:val="00460F25"/>
    <w:rsid w:val="0048062D"/>
    <w:rsid w:val="00483727"/>
    <w:rsid w:val="00491199"/>
    <w:rsid w:val="004A4B1D"/>
    <w:rsid w:val="004B17D4"/>
    <w:rsid w:val="004D2286"/>
    <w:rsid w:val="005426F5"/>
    <w:rsid w:val="00552124"/>
    <w:rsid w:val="00610268"/>
    <w:rsid w:val="006139C4"/>
    <w:rsid w:val="006250F9"/>
    <w:rsid w:val="00634A3A"/>
    <w:rsid w:val="006458F1"/>
    <w:rsid w:val="006516EC"/>
    <w:rsid w:val="006B1DD3"/>
    <w:rsid w:val="006D0123"/>
    <w:rsid w:val="006E2221"/>
    <w:rsid w:val="00700713"/>
    <w:rsid w:val="00715A13"/>
    <w:rsid w:val="00722178"/>
    <w:rsid w:val="007409D7"/>
    <w:rsid w:val="00782FF7"/>
    <w:rsid w:val="007B7A8C"/>
    <w:rsid w:val="0082738B"/>
    <w:rsid w:val="00852B53"/>
    <w:rsid w:val="00900BC9"/>
    <w:rsid w:val="009152F7"/>
    <w:rsid w:val="00991D09"/>
    <w:rsid w:val="009C6A46"/>
    <w:rsid w:val="009D0994"/>
    <w:rsid w:val="00A00B9F"/>
    <w:rsid w:val="00A04F33"/>
    <w:rsid w:val="00A14611"/>
    <w:rsid w:val="00A540A5"/>
    <w:rsid w:val="00A56E36"/>
    <w:rsid w:val="00A80BC9"/>
    <w:rsid w:val="00A867AE"/>
    <w:rsid w:val="00AB6100"/>
    <w:rsid w:val="00AE6C3A"/>
    <w:rsid w:val="00AE79F8"/>
    <w:rsid w:val="00B521E2"/>
    <w:rsid w:val="00B62416"/>
    <w:rsid w:val="00BC7A51"/>
    <w:rsid w:val="00BD6E4E"/>
    <w:rsid w:val="00BE72DE"/>
    <w:rsid w:val="00BF1B6E"/>
    <w:rsid w:val="00BF796B"/>
    <w:rsid w:val="00C1271A"/>
    <w:rsid w:val="00C21C14"/>
    <w:rsid w:val="00C27697"/>
    <w:rsid w:val="00C630FA"/>
    <w:rsid w:val="00C81324"/>
    <w:rsid w:val="00C86A16"/>
    <w:rsid w:val="00C955AA"/>
    <w:rsid w:val="00CA7DF9"/>
    <w:rsid w:val="00CC73E8"/>
    <w:rsid w:val="00CD456C"/>
    <w:rsid w:val="00CE6308"/>
    <w:rsid w:val="00D046BB"/>
    <w:rsid w:val="00D14FC0"/>
    <w:rsid w:val="00D256B1"/>
    <w:rsid w:val="00D557FA"/>
    <w:rsid w:val="00DA35DD"/>
    <w:rsid w:val="00DC1262"/>
    <w:rsid w:val="00DC7CE9"/>
    <w:rsid w:val="00E40448"/>
    <w:rsid w:val="00E44377"/>
    <w:rsid w:val="00EB0077"/>
    <w:rsid w:val="00EF0FED"/>
    <w:rsid w:val="00EF4E60"/>
    <w:rsid w:val="00F2120A"/>
    <w:rsid w:val="00F45930"/>
    <w:rsid w:val="00F734AC"/>
    <w:rsid w:val="00F91119"/>
    <w:rsid w:val="00FD208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C499A8"/>
  <w15:docId w15:val="{33314556-3990-42A9-A3FE-EC2C0842F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BF1B6E"/>
    <w:pPr>
      <w:spacing w:line="276" w:lineRule="auto"/>
    </w:pPr>
    <w:rPr>
      <w:rFonts w:asciiTheme="minorHAnsi" w:hAnsiTheme="minorHAnsi"/>
      <w:szCs w:val="22"/>
      <w:lang w:eastAsia="nl-NL"/>
    </w:rPr>
  </w:style>
  <w:style w:type="paragraph" w:styleId="Kop1">
    <w:name w:val="heading 1"/>
    <w:basedOn w:val="Standaard"/>
    <w:next w:val="Standaard"/>
    <w:qFormat/>
    <w:rsid w:val="00A80BC9"/>
    <w:pPr>
      <w:keepNext/>
      <w:pBdr>
        <w:top w:val="single" w:sz="6" w:space="4" w:color="C87F09" w:themeColor="accent2"/>
      </w:pBdr>
      <w:spacing w:before="240" w:after="240"/>
      <w:outlineLvl w:val="0"/>
    </w:pPr>
    <w:rPr>
      <w:rFonts w:asciiTheme="majorHAnsi" w:hAnsiTheme="majorHAnsi" w:cstheme="minorHAnsi"/>
      <w:color w:val="C87F09" w:themeColor="accent2"/>
      <w:spacing w:val="10"/>
      <w:sz w:val="36"/>
    </w:rPr>
  </w:style>
  <w:style w:type="paragraph" w:styleId="Kop2">
    <w:name w:val="heading 2"/>
    <w:basedOn w:val="Standaard"/>
    <w:next w:val="Standaard"/>
    <w:qFormat/>
    <w:rsid w:val="00156592"/>
    <w:pPr>
      <w:keepNext/>
      <w:numPr>
        <w:ilvl w:val="1"/>
        <w:numId w:val="30"/>
      </w:numPr>
      <w:pBdr>
        <w:top w:val="dotted" w:sz="4" w:space="2" w:color="C87F09" w:themeColor="accent2"/>
      </w:pBdr>
      <w:spacing w:after="60"/>
      <w:ind w:left="578" w:hanging="578"/>
      <w:outlineLvl w:val="1"/>
    </w:pPr>
    <w:rPr>
      <w:rFonts w:asciiTheme="majorHAnsi" w:hAnsiTheme="majorHAnsi" w:cstheme="minorHAnsi"/>
      <w:color w:val="C87F09" w:themeColor="accent2"/>
      <w:spacing w:val="4"/>
      <w:sz w:val="28"/>
    </w:rPr>
  </w:style>
  <w:style w:type="paragraph" w:styleId="Kop3">
    <w:name w:val="heading 3"/>
    <w:basedOn w:val="Standaard"/>
    <w:next w:val="Standaard"/>
    <w:qFormat/>
    <w:rsid w:val="00156592"/>
    <w:pPr>
      <w:keepNext/>
      <w:numPr>
        <w:ilvl w:val="2"/>
        <w:numId w:val="30"/>
      </w:numPr>
      <w:spacing w:after="60"/>
      <w:outlineLvl w:val="2"/>
    </w:pPr>
    <w:rPr>
      <w:rFonts w:asciiTheme="majorHAnsi" w:hAnsiTheme="majorHAnsi" w:cs="Arial"/>
      <w:color w:val="B29C93" w:themeColor="text2" w:themeTint="99"/>
      <w:sz w:val="24"/>
      <w:szCs w:val="26"/>
    </w:rPr>
  </w:style>
  <w:style w:type="paragraph" w:styleId="Kop4">
    <w:name w:val="heading 4"/>
    <w:basedOn w:val="Standaard"/>
    <w:next w:val="Standaard"/>
    <w:qFormat/>
    <w:rsid w:val="00156592"/>
    <w:pPr>
      <w:keepNext/>
      <w:numPr>
        <w:ilvl w:val="3"/>
        <w:numId w:val="30"/>
      </w:numPr>
      <w:spacing w:after="60"/>
      <w:ind w:left="862" w:hanging="862"/>
      <w:outlineLvl w:val="3"/>
    </w:pPr>
    <w:rPr>
      <w:rFonts w:cs="Arial"/>
      <w:color w:val="B29C93" w:themeColor="text2" w:themeTint="9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Kleurrijketabel2">
    <w:name w:val="Table Colorful 2"/>
    <w:basedOn w:val="Standaardtabel"/>
    <w:rsid w:val="00BE72D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Koptekst">
    <w:name w:val="header"/>
    <w:basedOn w:val="Standaard"/>
    <w:rsid w:val="00552124"/>
    <w:pPr>
      <w:tabs>
        <w:tab w:val="center" w:pos="4536"/>
        <w:tab w:val="right" w:pos="9072"/>
      </w:tabs>
    </w:pPr>
  </w:style>
  <w:style w:type="paragraph" w:styleId="Voettekst">
    <w:name w:val="footer"/>
    <w:basedOn w:val="Standaard"/>
    <w:rsid w:val="00552124"/>
    <w:pPr>
      <w:tabs>
        <w:tab w:val="center" w:pos="4536"/>
        <w:tab w:val="right" w:pos="9072"/>
      </w:tabs>
    </w:pPr>
  </w:style>
  <w:style w:type="character" w:styleId="Paginanummer">
    <w:name w:val="page number"/>
    <w:basedOn w:val="Standaardalinea-lettertype"/>
    <w:rsid w:val="00EF0FED"/>
    <w:rPr>
      <w:color w:val="7BA79D" w:themeColor="accent5"/>
      <w:sz w:val="18"/>
    </w:rPr>
  </w:style>
  <w:style w:type="paragraph" w:styleId="Documentstructuur">
    <w:name w:val="Document Map"/>
    <w:basedOn w:val="Standaard"/>
    <w:semiHidden/>
    <w:rsid w:val="003451D4"/>
    <w:pPr>
      <w:shd w:val="clear" w:color="auto" w:fill="000080"/>
    </w:pPr>
    <w:rPr>
      <w:rFonts w:ascii="Tahoma" w:hAnsi="Tahoma" w:cs="Tahoma"/>
    </w:rPr>
  </w:style>
  <w:style w:type="numbering" w:customStyle="1" w:styleId="Opmaakprofiel1">
    <w:name w:val="Opmaakprofiel1"/>
    <w:rsid w:val="00CA7DF9"/>
    <w:pPr>
      <w:numPr>
        <w:numId w:val="7"/>
      </w:numPr>
    </w:pPr>
  </w:style>
  <w:style w:type="paragraph" w:customStyle="1" w:styleId="OpmaakprofielKop1PatroonDoorzichtigGrijs-15">
    <w:name w:val="Opmaakprofiel Kop 1 + Patroon: Doorzichtig (Grijs-15%)"/>
    <w:basedOn w:val="Kop1"/>
    <w:rsid w:val="00C955AA"/>
    <w:rPr>
      <w:bCs/>
      <w:szCs w:val="20"/>
    </w:rPr>
  </w:style>
  <w:style w:type="table" w:customStyle="1" w:styleId="TabelGroen">
    <w:name w:val="Tabel_Groen"/>
    <w:basedOn w:val="Tabelraster"/>
    <w:rsid w:val="004B17D4"/>
    <w:rPr>
      <w:rFonts w:ascii="Comic Sans MS" w:hAnsi="Comic Sans MS"/>
      <w:lang w:val="nl-NL" w:eastAsia="nl-NL"/>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blStylePr w:type="firstRow">
      <w:tblPr/>
      <w:tcPr>
        <w:shd w:val="clear" w:color="auto" w:fill="1FB53B"/>
      </w:tcPr>
    </w:tblStylePr>
    <w:tblStylePr w:type="firstCol">
      <w:rPr>
        <w:b/>
      </w:rPr>
      <w:tblPr/>
      <w:tcPr>
        <w:shd w:val="clear" w:color="auto" w:fill="D9D9D9"/>
      </w:tcPr>
    </w:tblStylePr>
  </w:style>
  <w:style w:type="table" w:styleId="Tabelraster">
    <w:name w:val="Table Grid"/>
    <w:basedOn w:val="Standaardtabel"/>
    <w:rsid w:val="00991D0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somming1-10">
    <w:name w:val="Opsomming1-10"/>
    <w:basedOn w:val="Standaard"/>
    <w:link w:val="Opsomming1-10Char"/>
    <w:rsid w:val="00483727"/>
    <w:pPr>
      <w:contextualSpacing/>
    </w:pPr>
    <w:rPr>
      <w:rFonts w:ascii="Comic Sans MS" w:hAnsi="Comic Sans MS"/>
      <w:szCs w:val="20"/>
    </w:rPr>
  </w:style>
  <w:style w:type="character" w:customStyle="1" w:styleId="Opsomming1-10Char">
    <w:name w:val="Opsomming1-10 Char"/>
    <w:basedOn w:val="Standaardalinea-lettertype"/>
    <w:link w:val="Opsomming1-10"/>
    <w:rsid w:val="00483727"/>
    <w:rPr>
      <w:rFonts w:ascii="Comic Sans MS" w:hAnsi="Comic Sans MS"/>
      <w:lang w:eastAsia="nl-NL"/>
    </w:rPr>
  </w:style>
  <w:style w:type="paragraph" w:customStyle="1" w:styleId="Opsomming2-10">
    <w:name w:val="Opsomming2-10"/>
    <w:basedOn w:val="Opsomming1-10"/>
    <w:link w:val="Opsomming2-10Char"/>
    <w:qFormat/>
    <w:rsid w:val="00483727"/>
    <w:pPr>
      <w:numPr>
        <w:ilvl w:val="1"/>
        <w:numId w:val="10"/>
      </w:numPr>
    </w:pPr>
  </w:style>
  <w:style w:type="character" w:customStyle="1" w:styleId="Opsomming2-10Char">
    <w:name w:val="Opsomming2-10 Char"/>
    <w:basedOn w:val="Opsomming1-10Char"/>
    <w:link w:val="Opsomming2-10"/>
    <w:rsid w:val="00483727"/>
    <w:rPr>
      <w:rFonts w:ascii="Comic Sans MS" w:hAnsi="Comic Sans MS"/>
      <w:lang w:eastAsia="nl-NL"/>
    </w:rPr>
  </w:style>
  <w:style w:type="paragraph" w:customStyle="1" w:styleId="Bol1">
    <w:name w:val="Bol1"/>
    <w:basedOn w:val="Lijstalinea"/>
    <w:link w:val="Bol1Char"/>
    <w:qFormat/>
    <w:rsid w:val="00634A3A"/>
    <w:pPr>
      <w:numPr>
        <w:numId w:val="45"/>
      </w:numPr>
    </w:pPr>
  </w:style>
  <w:style w:type="character" w:customStyle="1" w:styleId="Bol1Char">
    <w:name w:val="Bol1 Char"/>
    <w:basedOn w:val="Standaardalinea-lettertype"/>
    <w:link w:val="Bol1"/>
    <w:rsid w:val="00634A3A"/>
    <w:rPr>
      <w:rFonts w:ascii="Arial" w:hAnsi="Arial"/>
      <w:szCs w:val="22"/>
      <w:lang w:eastAsia="nl-NL"/>
    </w:rPr>
  </w:style>
  <w:style w:type="paragraph" w:styleId="Lijstalinea">
    <w:name w:val="List Paragraph"/>
    <w:basedOn w:val="Standaard"/>
    <w:uiPriority w:val="34"/>
    <w:qFormat/>
    <w:rsid w:val="00483727"/>
    <w:pPr>
      <w:ind w:left="720"/>
      <w:contextualSpacing/>
    </w:pPr>
  </w:style>
  <w:style w:type="paragraph" w:customStyle="1" w:styleId="Bol2">
    <w:name w:val="Bol2"/>
    <w:basedOn w:val="Lijstalinea"/>
    <w:link w:val="Bol2Char"/>
    <w:qFormat/>
    <w:rsid w:val="00634A3A"/>
    <w:pPr>
      <w:numPr>
        <w:ilvl w:val="1"/>
        <w:numId w:val="45"/>
      </w:numPr>
    </w:pPr>
  </w:style>
  <w:style w:type="character" w:customStyle="1" w:styleId="Bol2Char">
    <w:name w:val="Bol2 Char"/>
    <w:basedOn w:val="Standaardalinea-lettertype"/>
    <w:link w:val="Bol2"/>
    <w:rsid w:val="00634A3A"/>
    <w:rPr>
      <w:rFonts w:ascii="Arial" w:hAnsi="Arial"/>
      <w:szCs w:val="22"/>
      <w:lang w:eastAsia="nl-NL"/>
    </w:rPr>
  </w:style>
  <w:style w:type="paragraph" w:customStyle="1" w:styleId="Bol3">
    <w:name w:val="Bol3"/>
    <w:basedOn w:val="Lijstalinea"/>
    <w:link w:val="Bol3Char"/>
    <w:qFormat/>
    <w:rsid w:val="00460F25"/>
    <w:pPr>
      <w:numPr>
        <w:ilvl w:val="2"/>
        <w:numId w:val="45"/>
      </w:numPr>
    </w:pPr>
    <w:rPr>
      <w:rFonts w:cs="Arial"/>
    </w:rPr>
  </w:style>
  <w:style w:type="character" w:customStyle="1" w:styleId="Bol3Char">
    <w:name w:val="Bol3 Char"/>
    <w:basedOn w:val="Bol2Char"/>
    <w:link w:val="Bol3"/>
    <w:rsid w:val="00460F25"/>
    <w:rPr>
      <w:rFonts w:ascii="Arial" w:hAnsi="Arial" w:cs="Arial"/>
      <w:szCs w:val="22"/>
      <w:lang w:eastAsia="nl-NL"/>
    </w:rPr>
  </w:style>
  <w:style w:type="character" w:styleId="Intensievebenadrukking">
    <w:name w:val="Intense Emphasis"/>
    <w:basedOn w:val="Standaardalinea-lettertype"/>
    <w:uiPriority w:val="21"/>
    <w:rsid w:val="000136B8"/>
    <w:rPr>
      <w:b/>
      <w:bCs/>
      <w:i/>
      <w:iCs/>
      <w:color w:val="BA7944" w:themeColor="accent4"/>
    </w:rPr>
  </w:style>
  <w:style w:type="paragraph" w:styleId="Titel">
    <w:name w:val="Title"/>
    <w:basedOn w:val="Standaard"/>
    <w:next w:val="Standaard"/>
    <w:link w:val="TitelChar"/>
    <w:qFormat/>
    <w:rsid w:val="000C2100"/>
    <w:pPr>
      <w:contextualSpacing/>
    </w:pPr>
    <w:rPr>
      <w:rFonts w:eastAsiaTheme="majorEastAsia" w:cs="Arial"/>
      <w:color w:val="8F8B6A" w:themeColor="accent3" w:themeShade="BF"/>
      <w:spacing w:val="20"/>
      <w:kern w:val="28"/>
      <w:sz w:val="72"/>
      <w:szCs w:val="56"/>
    </w:rPr>
  </w:style>
  <w:style w:type="character" w:customStyle="1" w:styleId="TitelChar">
    <w:name w:val="Titel Char"/>
    <w:basedOn w:val="Standaardalinea-lettertype"/>
    <w:link w:val="Titel"/>
    <w:rsid w:val="000C2100"/>
    <w:rPr>
      <w:rFonts w:ascii="Arial" w:eastAsiaTheme="majorEastAsia" w:hAnsi="Arial" w:cs="Arial"/>
      <w:color w:val="8F8B6A" w:themeColor="accent3" w:themeShade="BF"/>
      <w:spacing w:val="20"/>
      <w:kern w:val="28"/>
      <w:sz w:val="72"/>
      <w:szCs w:val="56"/>
      <w:lang w:eastAsia="nl-NL"/>
    </w:rPr>
  </w:style>
  <w:style w:type="character" w:styleId="Zwaar">
    <w:name w:val="Strong"/>
    <w:basedOn w:val="Standaardalinea-lettertype"/>
    <w:rsid w:val="006139C4"/>
    <w:rPr>
      <w:b/>
      <w:bCs/>
    </w:rPr>
  </w:style>
  <w:style w:type="paragraph" w:styleId="Ondertitel">
    <w:name w:val="Subtitle"/>
    <w:basedOn w:val="Standaard"/>
    <w:next w:val="Standaard"/>
    <w:link w:val="OndertitelChar"/>
    <w:qFormat/>
    <w:rsid w:val="000C2100"/>
    <w:pPr>
      <w:numPr>
        <w:ilvl w:val="1"/>
      </w:numPr>
      <w:spacing w:after="160"/>
    </w:pPr>
    <w:rPr>
      <w:rFonts w:eastAsiaTheme="minorEastAsia" w:cs="Arial"/>
      <w:color w:val="8F8B6A" w:themeColor="accent3" w:themeShade="BF"/>
      <w:spacing w:val="24"/>
      <w:sz w:val="22"/>
    </w:rPr>
  </w:style>
  <w:style w:type="character" w:customStyle="1" w:styleId="OndertitelChar">
    <w:name w:val="Ondertitel Char"/>
    <w:basedOn w:val="Standaardalinea-lettertype"/>
    <w:link w:val="Ondertitel"/>
    <w:rsid w:val="000C2100"/>
    <w:rPr>
      <w:rFonts w:ascii="Arial" w:eastAsiaTheme="minorEastAsia" w:hAnsi="Arial" w:cs="Arial"/>
      <w:color w:val="8F8B6A" w:themeColor="accent3" w:themeShade="BF"/>
      <w:spacing w:val="24"/>
      <w:sz w:val="22"/>
      <w:szCs w:val="22"/>
      <w:lang w:eastAsia="nl-NL"/>
    </w:rPr>
  </w:style>
  <w:style w:type="character" w:styleId="Nadruk">
    <w:name w:val="Emphasis"/>
    <w:basedOn w:val="Standaardalinea-lettertype"/>
    <w:qFormat/>
    <w:rsid w:val="00460F25"/>
    <w:rPr>
      <w:rFonts w:cs="Arial"/>
      <w:b/>
      <w:iCs/>
      <w:color w:val="9F2846" w:themeColor="accent1"/>
    </w:rPr>
  </w:style>
  <w:style w:type="numbering" w:customStyle="1" w:styleId="Bollen">
    <w:name w:val="Bollen"/>
    <w:uiPriority w:val="99"/>
    <w:rsid w:val="00F734AC"/>
    <w:pPr>
      <w:numPr>
        <w:numId w:val="44"/>
      </w:numPr>
    </w:pPr>
  </w:style>
  <w:style w:type="character" w:styleId="Subtielebenadrukking">
    <w:name w:val="Subtle Emphasis"/>
    <w:basedOn w:val="Standaardalinea-lettertype"/>
    <w:uiPriority w:val="19"/>
    <w:qFormat/>
    <w:rsid w:val="00460F25"/>
    <w:rPr>
      <w:rFonts w:cs="Arial"/>
      <w:b/>
      <w:iCs/>
      <w:color w:val="8F8B6A" w:themeColor="accent3" w:themeShade="BF"/>
    </w:rPr>
  </w:style>
  <w:style w:type="paragraph" w:styleId="Duidelijkcitaat">
    <w:name w:val="Intense Quote"/>
    <w:basedOn w:val="Standaard"/>
    <w:next w:val="Standaard"/>
    <w:link w:val="DuidelijkcitaatChar"/>
    <w:uiPriority w:val="30"/>
    <w:qFormat/>
    <w:rsid w:val="00BF1B6E"/>
    <w:pPr>
      <w:pBdr>
        <w:top w:val="single" w:sz="4" w:space="10" w:color="9F2846" w:themeColor="accent1"/>
        <w:bottom w:val="single" w:sz="4" w:space="10" w:color="9F2846" w:themeColor="accent1"/>
      </w:pBdr>
      <w:spacing w:before="360" w:after="360"/>
      <w:ind w:left="864" w:right="864"/>
      <w:jc w:val="center"/>
    </w:pPr>
    <w:rPr>
      <w:iCs/>
      <w:color w:val="9F2846" w:themeColor="accent1"/>
      <w:sz w:val="22"/>
    </w:rPr>
  </w:style>
  <w:style w:type="character" w:customStyle="1" w:styleId="DuidelijkcitaatChar">
    <w:name w:val="Duidelijk citaat Char"/>
    <w:basedOn w:val="Standaardalinea-lettertype"/>
    <w:link w:val="Duidelijkcitaat"/>
    <w:uiPriority w:val="30"/>
    <w:rsid w:val="00BF1B6E"/>
    <w:rPr>
      <w:rFonts w:asciiTheme="minorHAnsi" w:hAnsiTheme="minorHAnsi"/>
      <w:iCs/>
      <w:color w:val="9F2846" w:themeColor="accent1"/>
      <w:sz w:val="22"/>
      <w:szCs w:val="22"/>
      <w:lang w:eastAsia="nl-NL"/>
    </w:rPr>
  </w:style>
  <w:style w:type="paragraph" w:styleId="Kopvaninhoudsopgave">
    <w:name w:val="TOC Heading"/>
    <w:basedOn w:val="Standaard"/>
    <w:next w:val="Standaard"/>
    <w:uiPriority w:val="39"/>
    <w:unhideWhenUsed/>
    <w:qFormat/>
    <w:rsid w:val="00A14611"/>
    <w:pPr>
      <w:keepNext/>
      <w:keepLines/>
      <w:pBdr>
        <w:top w:val="dotted" w:sz="4" w:space="2" w:color="C87F09" w:themeColor="accent2"/>
      </w:pBdr>
      <w:spacing w:line="312" w:lineRule="auto"/>
    </w:pPr>
    <w:rPr>
      <w:rFonts w:ascii="Arial" w:eastAsiaTheme="majorEastAsia" w:hAnsi="Arial" w:cstheme="majorBidi"/>
      <w:color w:val="C87F09" w:themeColor="accent2"/>
      <w:sz w:val="40"/>
      <w:szCs w:val="32"/>
      <w:lang w:val="nl-NL"/>
    </w:rPr>
  </w:style>
  <w:style w:type="paragraph" w:styleId="Inhopg1">
    <w:name w:val="toc 1"/>
    <w:basedOn w:val="Standaard"/>
    <w:next w:val="Standaard"/>
    <w:autoRedefine/>
    <w:uiPriority w:val="39"/>
    <w:unhideWhenUsed/>
    <w:rsid w:val="00A14611"/>
    <w:pPr>
      <w:tabs>
        <w:tab w:val="right" w:leader="dot" w:pos="9628"/>
      </w:tabs>
      <w:spacing w:line="312" w:lineRule="auto"/>
      <w:ind w:left="425" w:hanging="425"/>
    </w:pPr>
    <w:rPr>
      <w:noProof/>
    </w:rPr>
  </w:style>
  <w:style w:type="paragraph" w:styleId="Inhopg2">
    <w:name w:val="toc 2"/>
    <w:basedOn w:val="Standaard"/>
    <w:next w:val="Standaard"/>
    <w:autoRedefine/>
    <w:uiPriority w:val="39"/>
    <w:unhideWhenUsed/>
    <w:rsid w:val="00A14611"/>
    <w:pPr>
      <w:tabs>
        <w:tab w:val="left" w:pos="1701"/>
        <w:tab w:val="right" w:leader="dot" w:pos="9628"/>
      </w:tabs>
      <w:spacing w:line="312" w:lineRule="auto"/>
      <w:ind w:left="993" w:hanging="567"/>
    </w:pPr>
    <w:rPr>
      <w:noProof/>
    </w:rPr>
  </w:style>
  <w:style w:type="paragraph" w:styleId="Inhopg3">
    <w:name w:val="toc 3"/>
    <w:basedOn w:val="Standaard"/>
    <w:next w:val="Standaard"/>
    <w:autoRedefine/>
    <w:uiPriority w:val="39"/>
    <w:unhideWhenUsed/>
    <w:rsid w:val="00A14611"/>
    <w:pPr>
      <w:tabs>
        <w:tab w:val="left" w:pos="1701"/>
        <w:tab w:val="right" w:leader="dot" w:pos="9628"/>
      </w:tabs>
      <w:spacing w:line="312" w:lineRule="auto"/>
      <w:ind w:left="1701" w:hanging="708"/>
    </w:pPr>
    <w:rPr>
      <w:noProof/>
    </w:rPr>
  </w:style>
  <w:style w:type="character" w:styleId="Hyperlink">
    <w:name w:val="Hyperlink"/>
    <w:basedOn w:val="Standaardalinea-lettertype"/>
    <w:uiPriority w:val="99"/>
    <w:unhideWhenUsed/>
    <w:rsid w:val="003A3896"/>
    <w:rPr>
      <w:color w:val="9F2846" w:themeColor="accent1"/>
      <w:u w:val="single"/>
    </w:rPr>
  </w:style>
  <w:style w:type="table" w:styleId="Lijsttabel3-Accent5">
    <w:name w:val="List Table 3 Accent 5"/>
    <w:basedOn w:val="Standaardtabel"/>
    <w:uiPriority w:val="48"/>
    <w:rsid w:val="00C1271A"/>
    <w:tblPr>
      <w:tblStyleRowBandSize w:val="1"/>
      <w:tblStyleColBandSize w:val="1"/>
      <w:tblBorders>
        <w:top w:val="single" w:sz="4" w:space="0" w:color="7BA79D" w:themeColor="accent5"/>
        <w:left w:val="single" w:sz="4" w:space="0" w:color="7BA79D" w:themeColor="accent5"/>
        <w:bottom w:val="single" w:sz="4" w:space="0" w:color="7BA79D" w:themeColor="accent5"/>
        <w:right w:val="single" w:sz="4" w:space="0" w:color="7BA79D" w:themeColor="accent5"/>
      </w:tblBorders>
    </w:tblPr>
    <w:tblStylePr w:type="firstRow">
      <w:rPr>
        <w:b/>
        <w:bCs/>
        <w:color w:val="FFFFFF" w:themeColor="background1"/>
      </w:rPr>
      <w:tblPr/>
      <w:tcPr>
        <w:shd w:val="clear" w:color="auto" w:fill="7BA79D" w:themeFill="accent5"/>
      </w:tcPr>
    </w:tblStylePr>
    <w:tblStylePr w:type="lastRow">
      <w:rPr>
        <w:b/>
        <w:bCs/>
      </w:rPr>
      <w:tblPr/>
      <w:tcPr>
        <w:tcBorders>
          <w:top w:val="double" w:sz="4" w:space="0" w:color="7BA79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BA79D" w:themeColor="accent5"/>
          <w:right w:val="single" w:sz="4" w:space="0" w:color="7BA79D" w:themeColor="accent5"/>
        </w:tcBorders>
      </w:tcPr>
    </w:tblStylePr>
    <w:tblStylePr w:type="band1Horz">
      <w:tblPr/>
      <w:tcPr>
        <w:tcBorders>
          <w:top w:val="single" w:sz="4" w:space="0" w:color="7BA79D" w:themeColor="accent5"/>
          <w:bottom w:val="single" w:sz="4" w:space="0" w:color="7BA79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BA79D" w:themeColor="accent5"/>
          <w:left w:val="nil"/>
        </w:tcBorders>
      </w:tcPr>
    </w:tblStylePr>
    <w:tblStylePr w:type="swCell">
      <w:tblPr/>
      <w:tcPr>
        <w:tcBorders>
          <w:top w:val="double" w:sz="4" w:space="0" w:color="7BA79D" w:themeColor="accent5"/>
          <w:right w:val="nil"/>
        </w:tcBorders>
      </w:tcPr>
    </w:tblStylePr>
  </w:style>
  <w:style w:type="table" w:styleId="Lijsttabel3-Accent6">
    <w:name w:val="List Table 3 Accent 6"/>
    <w:basedOn w:val="Standaardtabel"/>
    <w:uiPriority w:val="48"/>
    <w:rsid w:val="0043601E"/>
    <w:tblPr>
      <w:tblStyleRowBandSize w:val="1"/>
      <w:tblStyleColBandSize w:val="1"/>
      <w:tblBorders>
        <w:top w:val="single" w:sz="4" w:space="0" w:color="969272" w:themeColor="accent6"/>
        <w:left w:val="single" w:sz="4" w:space="0" w:color="969272" w:themeColor="accent6"/>
        <w:bottom w:val="single" w:sz="4" w:space="0" w:color="969272" w:themeColor="accent6"/>
        <w:right w:val="single" w:sz="4" w:space="0" w:color="969272" w:themeColor="accent6"/>
      </w:tblBorders>
    </w:tblPr>
    <w:tblStylePr w:type="firstRow">
      <w:rPr>
        <w:b/>
        <w:bCs/>
        <w:color w:val="FFFFFF" w:themeColor="background1"/>
      </w:rPr>
      <w:tblPr/>
      <w:tcPr>
        <w:shd w:val="clear" w:color="auto" w:fill="969272" w:themeFill="accent6"/>
      </w:tcPr>
    </w:tblStylePr>
    <w:tblStylePr w:type="lastRow">
      <w:rPr>
        <w:b/>
        <w:bCs/>
      </w:rPr>
      <w:tblPr/>
      <w:tcPr>
        <w:tcBorders>
          <w:top w:val="double" w:sz="4" w:space="0" w:color="96927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272" w:themeColor="accent6"/>
          <w:right w:val="single" w:sz="4" w:space="0" w:color="969272" w:themeColor="accent6"/>
        </w:tcBorders>
      </w:tcPr>
    </w:tblStylePr>
    <w:tblStylePr w:type="band1Horz">
      <w:tblPr/>
      <w:tcPr>
        <w:tcBorders>
          <w:top w:val="single" w:sz="4" w:space="0" w:color="969272" w:themeColor="accent6"/>
          <w:bottom w:val="single" w:sz="4" w:space="0" w:color="96927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272" w:themeColor="accent6"/>
          <w:left w:val="nil"/>
        </w:tcBorders>
      </w:tcPr>
    </w:tblStylePr>
    <w:tblStylePr w:type="swCell">
      <w:tblPr/>
      <w:tcPr>
        <w:tcBorders>
          <w:top w:val="double" w:sz="4" w:space="0" w:color="969272" w:themeColor="accent6"/>
          <w:right w:val="nil"/>
        </w:tcBorders>
      </w:tcPr>
    </w:tblStylePr>
  </w:style>
  <w:style w:type="table" w:styleId="Lijsttabel2-Accent1">
    <w:name w:val="List Table 2 Accent 1"/>
    <w:basedOn w:val="Standaardtabel"/>
    <w:uiPriority w:val="47"/>
    <w:rsid w:val="0043601E"/>
    <w:tblPr>
      <w:tblStyleRowBandSize w:val="1"/>
      <w:tblStyleColBandSize w:val="1"/>
      <w:tblBorders>
        <w:top w:val="single" w:sz="4" w:space="0" w:color="D96985" w:themeColor="accent1" w:themeTint="99"/>
        <w:bottom w:val="single" w:sz="4" w:space="0" w:color="D96985" w:themeColor="accent1" w:themeTint="99"/>
        <w:insideH w:val="single" w:sz="4" w:space="0" w:color="D9698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DD6" w:themeFill="accent1" w:themeFillTint="33"/>
      </w:tcPr>
    </w:tblStylePr>
    <w:tblStylePr w:type="band1Horz">
      <w:tblPr/>
      <w:tcPr>
        <w:shd w:val="clear" w:color="auto" w:fill="F2CDD6" w:themeFill="accent1" w:themeFillTint="33"/>
      </w:tcPr>
    </w:tblStylePr>
  </w:style>
  <w:style w:type="table" w:styleId="Rastertabel4-Accent6">
    <w:name w:val="Grid Table 4 Accent 6"/>
    <w:basedOn w:val="Standaardtabel"/>
    <w:uiPriority w:val="49"/>
    <w:rsid w:val="0043601E"/>
    <w:tblPr>
      <w:tblStyleRowBandSize w:val="1"/>
      <w:tblStyleColBandSize w:val="1"/>
      <w:tblBorders>
        <w:top w:val="single" w:sz="4" w:space="0" w:color="C0BDAA" w:themeColor="accent6" w:themeTint="99"/>
        <w:left w:val="single" w:sz="4" w:space="0" w:color="C0BDAA" w:themeColor="accent6" w:themeTint="99"/>
        <w:bottom w:val="single" w:sz="4" w:space="0" w:color="C0BDAA" w:themeColor="accent6" w:themeTint="99"/>
        <w:right w:val="single" w:sz="4" w:space="0" w:color="C0BDAA" w:themeColor="accent6" w:themeTint="99"/>
        <w:insideH w:val="single" w:sz="4" w:space="0" w:color="C0BDAA" w:themeColor="accent6" w:themeTint="99"/>
        <w:insideV w:val="single" w:sz="4" w:space="0" w:color="C0BDAA" w:themeColor="accent6" w:themeTint="99"/>
      </w:tblBorders>
    </w:tblPr>
    <w:tblStylePr w:type="firstRow">
      <w:rPr>
        <w:b/>
        <w:bCs/>
        <w:color w:val="FFFFFF" w:themeColor="background1"/>
      </w:rPr>
      <w:tblPr/>
      <w:tcPr>
        <w:tcBorders>
          <w:top w:val="single" w:sz="4" w:space="0" w:color="969272" w:themeColor="accent6"/>
          <w:left w:val="single" w:sz="4" w:space="0" w:color="969272" w:themeColor="accent6"/>
          <w:bottom w:val="single" w:sz="4" w:space="0" w:color="969272" w:themeColor="accent6"/>
          <w:right w:val="single" w:sz="4" w:space="0" w:color="969272" w:themeColor="accent6"/>
          <w:insideH w:val="nil"/>
          <w:insideV w:val="nil"/>
        </w:tcBorders>
        <w:shd w:val="clear" w:color="auto" w:fill="969272" w:themeFill="accent6"/>
      </w:tcPr>
    </w:tblStylePr>
    <w:tblStylePr w:type="lastRow">
      <w:rPr>
        <w:b/>
        <w:bCs/>
      </w:rPr>
      <w:tblPr/>
      <w:tcPr>
        <w:tcBorders>
          <w:top w:val="double" w:sz="4" w:space="0" w:color="969272" w:themeColor="accent6"/>
        </w:tcBorders>
      </w:tcPr>
    </w:tblStylePr>
    <w:tblStylePr w:type="firstCol">
      <w:rPr>
        <w:b/>
        <w:bCs/>
      </w:rPr>
    </w:tblStylePr>
    <w:tblStylePr w:type="lastCol">
      <w:rPr>
        <w:b/>
        <w:bCs/>
      </w:rPr>
    </w:tblStylePr>
    <w:tblStylePr w:type="band1Vert">
      <w:tblPr/>
      <w:tcPr>
        <w:shd w:val="clear" w:color="auto" w:fill="EAE9E2" w:themeFill="accent6" w:themeFillTint="33"/>
      </w:tcPr>
    </w:tblStylePr>
    <w:tblStylePr w:type="band1Horz">
      <w:tblPr/>
      <w:tcPr>
        <w:shd w:val="clear" w:color="auto" w:fill="EAE9E2" w:themeFill="accent6" w:themeFillTint="33"/>
      </w:tcPr>
    </w:tblStylePr>
  </w:style>
  <w:style w:type="table" w:styleId="Rastertabel5donker-Accent4">
    <w:name w:val="Grid Table 5 Dark Accent 4"/>
    <w:basedOn w:val="Standaardtabel"/>
    <w:uiPriority w:val="50"/>
    <w:rsid w:val="0043601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E4D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A7944"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A7944"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A7944"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A7944" w:themeFill="accent4"/>
      </w:tcPr>
    </w:tblStylePr>
    <w:tblStylePr w:type="band1Vert">
      <w:tblPr/>
      <w:tcPr>
        <w:shd w:val="clear" w:color="auto" w:fill="E3C9B3" w:themeFill="accent4" w:themeFillTint="66"/>
      </w:tcPr>
    </w:tblStylePr>
    <w:tblStylePr w:type="band1Horz">
      <w:tblPr/>
      <w:tcPr>
        <w:shd w:val="clear" w:color="auto" w:fill="E3C9B3" w:themeFill="accent4" w:themeFillTint="66"/>
      </w:tcPr>
    </w:tblStylePr>
  </w:style>
  <w:style w:type="table" w:styleId="Rastertabel5donker-Accent2">
    <w:name w:val="Grid Table 5 Dark Accent 2"/>
    <w:basedOn w:val="Standaardtabel"/>
    <w:uiPriority w:val="50"/>
    <w:rsid w:val="0043601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7C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87F0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87F0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87F0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87F09" w:themeFill="accent2"/>
      </w:tcPr>
    </w:tblStylePr>
    <w:tblStylePr w:type="band1Vert">
      <w:tblPr/>
      <w:tcPr>
        <w:shd w:val="clear" w:color="auto" w:fill="F9CF8B" w:themeFill="accent2" w:themeFillTint="66"/>
      </w:tcPr>
    </w:tblStylePr>
    <w:tblStylePr w:type="band1Horz">
      <w:tblPr/>
      <w:tcPr>
        <w:shd w:val="clear" w:color="auto" w:fill="F9CF8B" w:themeFill="accent2" w:themeFillTint="66"/>
      </w:tcPr>
    </w:tblStylePr>
  </w:style>
  <w:style w:type="paragraph" w:customStyle="1" w:styleId="StijlKopvaninhoudsopgaveLatijnsArial10ptAuto">
    <w:name w:val="Stijl Kop van inhoudsopgave + (Latijns) Arial 10 pt Auto"/>
    <w:basedOn w:val="Kopvaninhoudsopgave"/>
    <w:rsid w:val="00A14611"/>
    <w:rPr>
      <w:color w:val="auto"/>
      <w:sz w:val="20"/>
    </w:rPr>
  </w:style>
  <w:style w:type="paragraph" w:customStyle="1" w:styleId="StijlStijlKopvaninhoudsopgaveLatijnsArial10ptAuto20">
    <w:name w:val="Stijl Stijl Kop van inhoudsopgave + (Latijns) Arial 10 pt Auto + 20..."/>
    <w:basedOn w:val="StijlKopvaninhoudsopgaveLatijnsArial10ptAuto"/>
    <w:rsid w:val="00A14611"/>
    <w:rPr>
      <w:color w:val="C87F09" w:themeColor="accent2"/>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456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T:\Intranet\Nazareth%20Office-sjablonen\Document%20met%20logo.dotx" TargetMode="External"/></Relationships>
</file>

<file path=word/theme/theme1.xml><?xml version="1.0" encoding="utf-8"?>
<a:theme xmlns:a="http://schemas.openxmlformats.org/drawingml/2006/main" name="Kantoorthema">
  <a:themeElements>
    <a:clrScheme name="Nazareth-kleuren">
      <a:dk1>
        <a:sysClr val="windowText" lastClr="000000"/>
      </a:dk1>
      <a:lt1>
        <a:sysClr val="window" lastClr="FFFFFF"/>
      </a:lt1>
      <a:dk2>
        <a:srgbClr val="775F55"/>
      </a:dk2>
      <a:lt2>
        <a:srgbClr val="EBDDC3"/>
      </a:lt2>
      <a:accent1>
        <a:srgbClr val="9F2846"/>
      </a:accent1>
      <a:accent2>
        <a:srgbClr val="C87F09"/>
      </a:accent2>
      <a:accent3>
        <a:srgbClr val="B4B19A"/>
      </a:accent3>
      <a:accent4>
        <a:srgbClr val="BA7944"/>
      </a:accent4>
      <a:accent5>
        <a:srgbClr val="7BA79D"/>
      </a:accent5>
      <a:accent6>
        <a:srgbClr val="969272"/>
      </a:accent6>
      <a:hlink>
        <a:srgbClr val="F7B615"/>
      </a:hlink>
      <a:folHlink>
        <a:srgbClr val="704404"/>
      </a:folHlink>
    </a:clrScheme>
    <a:fontScheme name="Nazareth-fonts">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9D59D-1416-42BD-82A6-0B9B8F66A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 met logo.dotx</Template>
  <TotalTime>2</TotalTime>
  <Pages>2</Pages>
  <Words>743</Words>
  <Characters>4262</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OCMW Deinze</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Els Verbeke</dc:creator>
  <cp:lastModifiedBy>Els Verbeke</cp:lastModifiedBy>
  <cp:revision>1</cp:revision>
  <cp:lastPrinted>1900-12-31T23:00:00Z</cp:lastPrinted>
  <dcterms:created xsi:type="dcterms:W3CDTF">2022-10-18T08:36:00Z</dcterms:created>
  <dcterms:modified xsi:type="dcterms:W3CDTF">2022-10-18T08:38:00Z</dcterms:modified>
</cp:coreProperties>
</file>